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41A7" w:rsidRDefault="002453CF" w:rsidP="009941A7">
      <w:pPr>
        <w:spacing w:after="0" w:line="240" w:lineRule="auto"/>
        <w:rPr>
          <w:rFonts w:ascii="David" w:eastAsia="Times New Roman" w:hAnsi="David" w:cs="David"/>
          <w:sz w:val="20"/>
          <w:szCs w:val="20"/>
          <w:rtl/>
        </w:rPr>
      </w:pPr>
      <w:r w:rsidRPr="003F21A0">
        <w:rPr>
          <w:rFonts w:ascii="David" w:hAnsi="David" w:cs="David"/>
          <w:sz w:val="24"/>
          <w:szCs w:val="24"/>
          <w:rtl/>
        </w:rPr>
        <w:t xml:space="preserve">                                 </w:t>
      </w:r>
      <w:r w:rsidR="006B7B96" w:rsidRPr="003F21A0">
        <w:rPr>
          <w:rFonts w:ascii="David" w:hAnsi="David" w:cs="David"/>
          <w:sz w:val="24"/>
          <w:szCs w:val="24"/>
          <w:rtl/>
        </w:rPr>
        <w:t xml:space="preserve">           </w:t>
      </w:r>
      <w:r w:rsidR="00631744" w:rsidRPr="003F21A0">
        <w:rPr>
          <w:rFonts w:ascii="David" w:hAnsi="David" w:cs="David"/>
          <w:sz w:val="24"/>
          <w:szCs w:val="24"/>
          <w:rtl/>
        </w:rPr>
        <w:t xml:space="preserve">           </w:t>
      </w:r>
      <w:r w:rsidR="006C3B1F" w:rsidRPr="003F21A0">
        <w:rPr>
          <w:rFonts w:ascii="David" w:hAnsi="David" w:cs="David"/>
          <w:sz w:val="24"/>
          <w:szCs w:val="24"/>
          <w:rtl/>
        </w:rPr>
        <w:t xml:space="preserve">   </w:t>
      </w:r>
      <w:r w:rsidRPr="003F21A0">
        <w:rPr>
          <w:rFonts w:ascii="David" w:hAnsi="David" w:cs="David"/>
          <w:sz w:val="24"/>
          <w:szCs w:val="24"/>
          <w:rtl/>
        </w:rPr>
        <w:t xml:space="preserve">  </w:t>
      </w:r>
      <w:r w:rsidR="001D42A7" w:rsidRPr="003F21A0">
        <w:rPr>
          <w:rFonts w:ascii="David" w:hAnsi="David" w:cs="David"/>
          <w:sz w:val="24"/>
          <w:szCs w:val="24"/>
          <w:rtl/>
        </w:rPr>
        <w:t xml:space="preserve">  </w:t>
      </w:r>
    </w:p>
    <w:p w:rsidR="003B6BD8" w:rsidRPr="003B6BD8" w:rsidRDefault="003B6BD8" w:rsidP="009941A7">
      <w:pPr>
        <w:spacing w:after="0" w:line="240" w:lineRule="auto"/>
        <w:jc w:val="right"/>
        <w:rPr>
          <w:rFonts w:ascii="David" w:eastAsia="Times New Roman" w:hAnsi="David" w:cs="David"/>
          <w:sz w:val="20"/>
          <w:szCs w:val="20"/>
          <w:rtl/>
        </w:rPr>
      </w:pPr>
      <w:r w:rsidRPr="003B6BD8">
        <w:rPr>
          <w:rFonts w:ascii="David" w:eastAsia="Times New Roman" w:hAnsi="David" w:cs="David" w:hint="eastAsia"/>
          <w:sz w:val="20"/>
          <w:szCs w:val="20"/>
          <w:rtl/>
        </w:rPr>
        <w:t>‏</w:t>
      </w:r>
      <w:r w:rsidRPr="003B6BD8">
        <w:rPr>
          <w:rFonts w:ascii="David" w:eastAsia="Times New Roman" w:hAnsi="David" w:cs="David"/>
          <w:sz w:val="20"/>
          <w:szCs w:val="20"/>
          <w:rtl/>
        </w:rPr>
        <w:t>04 יולי 2024</w:t>
      </w:r>
      <w:r w:rsidR="00983123" w:rsidRPr="003B6BD8">
        <w:rPr>
          <w:rFonts w:ascii="David" w:eastAsia="Times New Roman" w:hAnsi="David" w:cs="David"/>
          <w:sz w:val="20"/>
          <w:szCs w:val="20"/>
          <w:rtl/>
        </w:rPr>
        <w:t xml:space="preserve">                                                                                                   </w:t>
      </w:r>
    </w:p>
    <w:p w:rsidR="003B6BD8" w:rsidRPr="003B6BD8" w:rsidRDefault="003B6BD8" w:rsidP="009B2BD7">
      <w:pPr>
        <w:spacing w:after="0" w:line="240" w:lineRule="auto"/>
        <w:jc w:val="right"/>
        <w:rPr>
          <w:rFonts w:ascii="David" w:eastAsia="Times New Roman" w:hAnsi="David" w:cs="David"/>
          <w:sz w:val="20"/>
          <w:szCs w:val="20"/>
          <w:rtl/>
        </w:rPr>
      </w:pPr>
      <w:r w:rsidRPr="003B6BD8">
        <w:rPr>
          <w:rFonts w:ascii="David" w:eastAsia="Times New Roman" w:hAnsi="David" w:cs="David" w:hint="eastAsia"/>
          <w:sz w:val="20"/>
          <w:szCs w:val="20"/>
          <w:rtl/>
        </w:rPr>
        <w:t>‏כ</w:t>
      </w:r>
      <w:r w:rsidRPr="003B6BD8">
        <w:rPr>
          <w:rFonts w:ascii="David" w:eastAsia="Times New Roman" w:hAnsi="David" w:cs="David"/>
          <w:sz w:val="20"/>
          <w:szCs w:val="20"/>
          <w:rtl/>
        </w:rPr>
        <w:t>"ח סיון תשפ"ד</w:t>
      </w:r>
    </w:p>
    <w:p w:rsidR="00515986" w:rsidRPr="003B6BD8" w:rsidRDefault="00983123" w:rsidP="003B6BD8">
      <w:pPr>
        <w:spacing w:after="0" w:line="240" w:lineRule="auto"/>
        <w:jc w:val="right"/>
        <w:rPr>
          <w:rFonts w:ascii="David" w:eastAsia="Times New Roman" w:hAnsi="David" w:cs="David"/>
          <w:sz w:val="20"/>
          <w:szCs w:val="20"/>
          <w:rtl/>
        </w:rPr>
      </w:pPr>
      <w:r w:rsidRPr="003B6BD8">
        <w:rPr>
          <w:rFonts w:ascii="David" w:eastAsia="Times New Roman" w:hAnsi="David" w:cs="David" w:hint="cs"/>
          <w:sz w:val="20"/>
          <w:szCs w:val="20"/>
          <w:rtl/>
        </w:rPr>
        <w:fldChar w:fldCharType="begin"/>
      </w:r>
      <w:r w:rsidRPr="003B6BD8">
        <w:rPr>
          <w:rFonts w:ascii="David" w:eastAsia="Times New Roman" w:hAnsi="David" w:cs="David"/>
          <w:sz w:val="20"/>
          <w:szCs w:val="20"/>
          <w:rtl/>
        </w:rPr>
        <w:instrText xml:space="preserve"> </w:instrText>
      </w:r>
      <w:r w:rsidRPr="003B6BD8">
        <w:rPr>
          <w:rFonts w:ascii="David" w:eastAsia="Times New Roman" w:hAnsi="David" w:cs="David"/>
          <w:sz w:val="20"/>
          <w:szCs w:val="20"/>
        </w:rPr>
        <w:instrText>DOCPROPERTY  DocNumber  \* MERGEFORMAT</w:instrText>
      </w:r>
      <w:r w:rsidRPr="003B6BD8">
        <w:rPr>
          <w:rFonts w:ascii="David" w:eastAsia="Times New Roman" w:hAnsi="David" w:cs="David"/>
          <w:sz w:val="20"/>
          <w:szCs w:val="20"/>
          <w:rtl/>
        </w:rPr>
        <w:instrText xml:space="preserve"> </w:instrText>
      </w:r>
      <w:r w:rsidRPr="003B6BD8">
        <w:rPr>
          <w:rFonts w:ascii="David" w:eastAsia="Times New Roman" w:hAnsi="David" w:cs="David" w:hint="cs"/>
          <w:sz w:val="20"/>
          <w:szCs w:val="20"/>
          <w:rtl/>
        </w:rPr>
        <w:fldChar w:fldCharType="separate"/>
      </w:r>
      <w:r w:rsidRPr="003B6BD8">
        <w:rPr>
          <w:rFonts w:ascii="David" w:eastAsia="Times New Roman" w:hAnsi="David" w:cs="David"/>
          <w:sz w:val="20"/>
          <w:szCs w:val="20"/>
          <w:rtl/>
        </w:rPr>
        <w:t>4700-1039-2024-004473</w:t>
      </w:r>
      <w:r w:rsidRPr="003B6BD8">
        <w:rPr>
          <w:rFonts w:ascii="David" w:eastAsia="Times New Roman" w:hAnsi="David" w:cs="David" w:hint="cs"/>
          <w:sz w:val="20"/>
          <w:szCs w:val="20"/>
          <w:rtl/>
        </w:rPr>
        <w:fldChar w:fldCharType="end"/>
      </w:r>
    </w:p>
    <w:p w:rsidR="009B2BD7" w:rsidRPr="003F21A0" w:rsidRDefault="00EA6DF3" w:rsidP="009B2BD7">
      <w:pPr>
        <w:spacing w:after="0" w:line="360" w:lineRule="auto"/>
        <w:jc w:val="center"/>
        <w:rPr>
          <w:rFonts w:ascii="FrankRuehl" w:hAnsi="FrankRuehl" w:cs="FrankRuehl"/>
          <w:b/>
          <w:bCs/>
          <w:color w:val="002060"/>
          <w:sz w:val="28"/>
          <w:szCs w:val="28"/>
          <w:u w:val="single"/>
          <w:rtl/>
        </w:rPr>
      </w:pPr>
      <w:r w:rsidRPr="003F21A0">
        <w:rPr>
          <w:rFonts w:ascii="FrankRuehl" w:hAnsi="FrankRuehl" w:cs="FrankRuehl"/>
          <w:b/>
          <w:bCs/>
          <w:color w:val="002060"/>
          <w:sz w:val="28"/>
          <w:szCs w:val="28"/>
          <w:u w:val="single"/>
          <w:rtl/>
        </w:rPr>
        <w:t xml:space="preserve">תקציר </w:t>
      </w:r>
      <w:r w:rsidR="009B2BD7" w:rsidRPr="003F21A0">
        <w:rPr>
          <w:rFonts w:ascii="FrankRuehl" w:hAnsi="FrankRuehl" w:cs="FrankRuehl" w:hint="eastAsia"/>
          <w:b/>
          <w:bCs/>
          <w:color w:val="002060"/>
          <w:sz w:val="28"/>
          <w:szCs w:val="28"/>
          <w:u w:val="single"/>
          <w:rtl/>
        </w:rPr>
        <w:t>גזר</w:t>
      </w:r>
      <w:r w:rsidR="009B2BD7" w:rsidRPr="003F21A0">
        <w:rPr>
          <w:rFonts w:ascii="FrankRuehl" w:hAnsi="FrankRuehl" w:cs="FrankRuehl"/>
          <w:b/>
          <w:bCs/>
          <w:color w:val="002060"/>
          <w:sz w:val="28"/>
          <w:szCs w:val="28"/>
          <w:u w:val="single"/>
          <w:rtl/>
        </w:rPr>
        <w:t xml:space="preserve">-דין </w:t>
      </w:r>
      <w:r w:rsidR="009B2BD7" w:rsidRPr="003F21A0">
        <w:rPr>
          <w:rFonts w:ascii="FrankRuehl" w:hAnsi="FrankRuehl" w:cs="FrankRuehl" w:hint="eastAsia"/>
          <w:b/>
          <w:bCs/>
          <w:color w:val="002060"/>
          <w:sz w:val="28"/>
          <w:szCs w:val="28"/>
          <w:u w:val="single"/>
          <w:rtl/>
        </w:rPr>
        <w:t>ת</w:t>
      </w:r>
      <w:r w:rsidR="009B2BD7" w:rsidRPr="003F21A0">
        <w:rPr>
          <w:rFonts w:ascii="FrankRuehl" w:hAnsi="FrankRuehl" w:cs="FrankRuehl"/>
          <w:b/>
          <w:bCs/>
          <w:color w:val="002060"/>
          <w:sz w:val="28"/>
          <w:szCs w:val="28"/>
          <w:u w:val="single"/>
          <w:rtl/>
        </w:rPr>
        <w:t xml:space="preserve">"פ 7375-04-23 - </w:t>
      </w:r>
      <w:r w:rsidR="009B2BD7" w:rsidRPr="003F21A0">
        <w:rPr>
          <w:rFonts w:ascii="FrankRuehl" w:hAnsi="FrankRuehl" w:cs="FrankRuehl" w:hint="eastAsia"/>
          <w:b/>
          <w:bCs/>
          <w:color w:val="002060"/>
          <w:sz w:val="28"/>
          <w:szCs w:val="28"/>
          <w:u w:val="single"/>
          <w:rtl/>
        </w:rPr>
        <w:t>מדינת</w:t>
      </w:r>
      <w:r w:rsidR="009B2BD7" w:rsidRPr="003F21A0">
        <w:rPr>
          <w:rFonts w:ascii="FrankRuehl" w:hAnsi="FrankRuehl" w:cs="FrankRuehl"/>
          <w:b/>
          <w:bCs/>
          <w:color w:val="002060"/>
          <w:sz w:val="28"/>
          <w:szCs w:val="28"/>
          <w:u w:val="single"/>
          <w:rtl/>
        </w:rPr>
        <w:t xml:space="preserve"> ישראל נ' ארתור </w:t>
      </w:r>
      <w:proofErr w:type="spellStart"/>
      <w:r w:rsidR="009B2BD7" w:rsidRPr="003F21A0">
        <w:rPr>
          <w:rFonts w:ascii="FrankRuehl" w:hAnsi="FrankRuehl" w:cs="FrankRuehl" w:hint="eastAsia"/>
          <w:b/>
          <w:bCs/>
          <w:color w:val="002060"/>
          <w:sz w:val="28"/>
          <w:szCs w:val="28"/>
          <w:u w:val="single"/>
          <w:rtl/>
        </w:rPr>
        <w:t>אברמוב</w:t>
      </w:r>
      <w:proofErr w:type="spellEnd"/>
    </w:p>
    <w:p w:rsidR="009B2BD7" w:rsidRPr="003F21A0" w:rsidRDefault="009B2BD7" w:rsidP="009B2BD7">
      <w:pPr>
        <w:spacing w:after="120"/>
        <w:jc w:val="center"/>
        <w:rPr>
          <w:rFonts w:ascii="David" w:hAnsi="David" w:cs="David"/>
          <w:color w:val="002060"/>
          <w:sz w:val="24"/>
          <w:szCs w:val="24"/>
          <w:rtl/>
        </w:rPr>
      </w:pPr>
      <w:r w:rsidRPr="003F21A0">
        <w:rPr>
          <w:rFonts w:ascii="FrankRuehl" w:hAnsi="FrankRuehl" w:cs="FrankRuehl" w:hint="eastAsia"/>
          <w:b/>
          <w:bCs/>
          <w:color w:val="002060"/>
          <w:sz w:val="28"/>
          <w:szCs w:val="28"/>
          <w:rtl/>
        </w:rPr>
        <w:t>ביהמ</w:t>
      </w:r>
      <w:r w:rsidRPr="003F21A0">
        <w:rPr>
          <w:rFonts w:ascii="FrankRuehl" w:hAnsi="FrankRuehl" w:cs="FrankRuehl"/>
          <w:b/>
          <w:bCs/>
          <w:color w:val="002060"/>
          <w:sz w:val="28"/>
          <w:szCs w:val="28"/>
          <w:rtl/>
        </w:rPr>
        <w:t xml:space="preserve">"ש השלום בנתניה, </w:t>
      </w:r>
      <w:r w:rsidR="00EA6DF3" w:rsidRPr="003F21A0">
        <w:rPr>
          <w:rFonts w:ascii="FrankRuehl" w:hAnsi="FrankRuehl" w:cs="FrankRuehl"/>
          <w:b/>
          <w:bCs/>
          <w:color w:val="002060"/>
          <w:sz w:val="28"/>
          <w:szCs w:val="28"/>
          <w:rtl/>
        </w:rPr>
        <w:t>כבוד השופט</w:t>
      </w:r>
      <w:r w:rsidRPr="003F21A0">
        <w:rPr>
          <w:rFonts w:ascii="FrankRuehl" w:hAnsi="FrankRuehl" w:cs="FrankRuehl"/>
          <w:b/>
          <w:bCs/>
          <w:color w:val="002060"/>
          <w:sz w:val="28"/>
          <w:szCs w:val="28"/>
          <w:rtl/>
        </w:rPr>
        <w:t xml:space="preserve"> גיא אבנון</w:t>
      </w:r>
    </w:p>
    <w:p w:rsidR="009941A7" w:rsidRDefault="009941A7" w:rsidP="003F21A0">
      <w:pPr>
        <w:spacing w:after="0" w:line="360" w:lineRule="auto"/>
        <w:jc w:val="both"/>
        <w:rPr>
          <w:rFonts w:ascii="David" w:hAnsi="David" w:cs="David"/>
          <w:color w:val="002060"/>
          <w:sz w:val="24"/>
          <w:szCs w:val="24"/>
          <w:rtl/>
        </w:rPr>
      </w:pPr>
    </w:p>
    <w:p w:rsidR="009B2BD7" w:rsidRPr="009B2BD7" w:rsidRDefault="009B2BD7" w:rsidP="003F21A0">
      <w:pPr>
        <w:spacing w:after="0" w:line="360" w:lineRule="auto"/>
        <w:jc w:val="both"/>
        <w:rPr>
          <w:rFonts w:ascii="David" w:hAnsi="David" w:cs="David"/>
          <w:sz w:val="24"/>
          <w:szCs w:val="24"/>
          <w:rtl/>
        </w:rPr>
      </w:pPr>
      <w:bookmarkStart w:id="0" w:name="_GoBack"/>
      <w:bookmarkEnd w:id="0"/>
      <w:r w:rsidRPr="009B2BD7">
        <w:rPr>
          <w:rFonts w:ascii="David" w:hAnsi="David" w:cs="David"/>
          <w:sz w:val="24"/>
          <w:szCs w:val="24"/>
          <w:rtl/>
        </w:rPr>
        <w:t>הנאשם הורשע לאחר ניהול הוכחות במלוא העבירות שיוחסו לו בכתב האישום – עבירות אלימות קשות שביצע כלפי בת זוגו – חבלה חמורה, פציעה כשהעבריין מזוין, תקיפת הגורמת חבלה של ממש, וכן בכליאת שווא של המתלוננת במשך כיממה, שיבוש מהלכי משפט ומסירת ידיעה כוזבת על עבירה. ביוזמת בית המשפט ולאחר שניתנה לנאשם הזדמנות נאותה להתגונן, הורשע הנאשם גם בעבירה של מעשה מגונה.</w:t>
      </w:r>
    </w:p>
    <w:p w:rsidR="009B2BD7" w:rsidRPr="009B2BD7" w:rsidRDefault="009B2BD7" w:rsidP="003F21A0">
      <w:pPr>
        <w:spacing w:after="0" w:line="360" w:lineRule="auto"/>
        <w:jc w:val="both"/>
        <w:rPr>
          <w:rFonts w:ascii="David" w:eastAsia="Calibri" w:hAnsi="David" w:cs="David"/>
          <w:sz w:val="24"/>
          <w:szCs w:val="24"/>
          <w:rtl/>
        </w:rPr>
      </w:pPr>
      <w:r w:rsidRPr="009B2BD7">
        <w:rPr>
          <w:rFonts w:ascii="David" w:eastAsia="Calibri" w:hAnsi="David" w:cs="David"/>
          <w:sz w:val="24"/>
          <w:szCs w:val="24"/>
          <w:rtl/>
        </w:rPr>
        <w:t>בית המשפט קיבל במלואה את עתירת המאשימה לעונש, וגזר על הנאשם 7 שנות מאסר בפועל, מאסרים על-תנאי, פיצויים בסך 50,000 ₪ לנפגעת העבירה וקנס בסך 5,000 ₪.</w:t>
      </w:r>
    </w:p>
    <w:p w:rsidR="009B2BD7" w:rsidRPr="009B2BD7" w:rsidRDefault="009B2BD7" w:rsidP="003F21A0">
      <w:pPr>
        <w:spacing w:after="0" w:line="360" w:lineRule="auto"/>
        <w:jc w:val="both"/>
        <w:rPr>
          <w:rFonts w:ascii="David" w:eastAsia="Calibri" w:hAnsi="David" w:cs="David"/>
          <w:sz w:val="24"/>
          <w:szCs w:val="24"/>
          <w:rtl/>
        </w:rPr>
      </w:pPr>
    </w:p>
    <w:p w:rsidR="009B2BD7" w:rsidRPr="009B2BD7" w:rsidRDefault="009B2BD7" w:rsidP="009B2BD7">
      <w:pPr>
        <w:spacing w:after="0" w:line="360" w:lineRule="auto"/>
        <w:jc w:val="both"/>
        <w:rPr>
          <w:rFonts w:ascii="David" w:eastAsia="Calibri" w:hAnsi="David" w:cs="David"/>
          <w:sz w:val="24"/>
          <w:szCs w:val="24"/>
          <w:rtl/>
        </w:rPr>
      </w:pPr>
      <w:r w:rsidRPr="009B2BD7">
        <w:rPr>
          <w:rFonts w:ascii="David" w:eastAsia="Calibri" w:hAnsi="David" w:cs="David"/>
          <w:sz w:val="24"/>
          <w:szCs w:val="24"/>
          <w:rtl/>
        </w:rPr>
        <w:t xml:space="preserve">במסגרת גזר הדין עמד בית המשפט על כך שנסיבות ביצוע העבירות יוצאות דופן בחומרתן, ועשויות היו להצדיק הגשת כתב אישום חמור יותר בבית המשפט המחוזי. בית המשפט התייחס לפערי הכוחות בין בני הזוג– פיזית, כלכלית, מנטלית וחברתית. הנאשם פגע במתלוננת באכזריות בדרכים שונות ולאורך זמן, הן בידיו וברגליו, והן תוך שימוש בכלי משחית, אלה וסכין, אשר נועדו להעצים את הפגיעה, החבלה והמכאוב, באופן הממחיש את כוונתו של הנאשם להרע למתלוננת. רצף האירועים מבעית. הסצנה כולה, כאילו לקוחה מסרט אימה. </w:t>
      </w:r>
    </w:p>
    <w:p w:rsidR="009B2BD7" w:rsidRPr="009B2BD7" w:rsidRDefault="009B2BD7" w:rsidP="003F21A0">
      <w:pPr>
        <w:spacing w:after="0" w:line="360" w:lineRule="auto"/>
        <w:jc w:val="both"/>
        <w:rPr>
          <w:rFonts w:ascii="David" w:hAnsi="David" w:cs="David"/>
          <w:sz w:val="24"/>
          <w:szCs w:val="24"/>
          <w:rtl/>
        </w:rPr>
      </w:pPr>
    </w:p>
    <w:p w:rsidR="003F21A0" w:rsidRDefault="009B2BD7" w:rsidP="003F21A0">
      <w:pPr>
        <w:spacing w:after="0" w:line="360" w:lineRule="auto"/>
        <w:jc w:val="both"/>
        <w:rPr>
          <w:rFonts w:ascii="David" w:eastAsia="Calibri" w:hAnsi="David" w:cs="David"/>
          <w:sz w:val="24"/>
          <w:szCs w:val="24"/>
          <w:rtl/>
        </w:rPr>
      </w:pPr>
      <w:r w:rsidRPr="009B2BD7">
        <w:rPr>
          <w:rFonts w:ascii="David" w:hAnsi="David" w:cs="David"/>
          <w:sz w:val="24"/>
          <w:szCs w:val="24"/>
          <w:rtl/>
        </w:rPr>
        <w:t xml:space="preserve">הנאשם, בן כ-45, עבד כמאבטח בחופי נתניה, והתגורר במכולה בחוף סירונית. המתלוננת (שמה ופרטיה אסורים בפרסום), בת כ-40, חסרת מעמד בישראל, הועסקה בעבודות ניקיון, הכירה את הנאשם בתקופה משברית בחייה, והתגוררה עמו במכולה משך כמחצית השנה. </w:t>
      </w:r>
      <w:r w:rsidRPr="009B2BD7">
        <w:rPr>
          <w:rFonts w:ascii="David" w:eastAsia="Calibri" w:hAnsi="David" w:cs="David"/>
          <w:sz w:val="24"/>
          <w:szCs w:val="24"/>
          <w:rtl/>
        </w:rPr>
        <w:t xml:space="preserve">ביום 24.3.23 בסמוך לשעה 22:00, בשעה שהמתלוננת הכינה ארוחת ערב, נכנס הנאשם למכולה כשהוא תחת השפעת אלכוהול, והחל לתקוף את המתלוננת בכך שסטר בפניה, בעט בכל חלקי גופה, והיכה בפניה באגרופים. הנאשם נטל </w:t>
      </w:r>
      <w:r w:rsidRPr="009B2BD7">
        <w:rPr>
          <w:rFonts w:ascii="David" w:hAnsi="David" w:cs="David"/>
          <w:sz w:val="24"/>
          <w:szCs w:val="24"/>
          <w:rtl/>
        </w:rPr>
        <w:t>אַלָּה, אשר שימשה אותו בעבודתו</w:t>
      </w:r>
      <w:r w:rsidRPr="009B2BD7">
        <w:rPr>
          <w:rFonts w:ascii="David" w:eastAsia="Calibri" w:hAnsi="David" w:cs="David"/>
          <w:sz w:val="24"/>
          <w:szCs w:val="24"/>
          <w:rtl/>
        </w:rPr>
        <w:t xml:space="preserve">, והיכה נמרצות באמצעותה את המתלוננת באזור הצלעות והאגן. אז נטל סכין, ודקר בה את המתלוננת שלוש פעמים באזור האגן. בשלב זה דחף הנאשם את המתלוננת אל מחוץ למכולה, והמשיך לתקוף אותה במכות בפניה, בעיטות בגופה, ומכות אלה בכל חלקי גופה. בהמשך תפס הנאשם בשערה של המתלוננת, גרר אותה בחזרה לתוך המכולה, שם המשיך וטלטל אותה. </w:t>
      </w:r>
    </w:p>
    <w:p w:rsidR="003F21A0" w:rsidRPr="009B2BD7" w:rsidRDefault="003F21A0" w:rsidP="003F21A0">
      <w:pPr>
        <w:spacing w:after="0" w:line="360" w:lineRule="auto"/>
        <w:jc w:val="both"/>
        <w:rPr>
          <w:rFonts w:ascii="David" w:eastAsia="Calibri" w:hAnsi="David" w:cs="David"/>
          <w:sz w:val="24"/>
          <w:szCs w:val="24"/>
          <w:rtl/>
        </w:rPr>
      </w:pPr>
      <w:r w:rsidRPr="009B2BD7">
        <w:rPr>
          <w:rFonts w:ascii="David" w:eastAsia="Calibri" w:hAnsi="David" w:cs="David"/>
          <w:sz w:val="24"/>
          <w:szCs w:val="24"/>
          <w:rtl/>
        </w:rPr>
        <w:t xml:space="preserve">כשהפסיק הנאשם לבסוף את מעשי האלימות, מצאה עצמה המתלוננת כשהיא חבולה ופצועה בכל חלקי גופה, על סף עילפון. לאחר שאזרה את שארית כוחותיה כדי לפשוט את בגדיה המגואלים בדם, המשיך הנאשם "לגלות יצירתיות", ועבר לשלב חדש ב"טיפול החינוכי" שנתן למתלוננת. </w:t>
      </w:r>
    </w:p>
    <w:p w:rsidR="003F21A0" w:rsidRPr="0048785E" w:rsidRDefault="003F21A0" w:rsidP="003F21A0">
      <w:pPr>
        <w:spacing w:after="0" w:line="360" w:lineRule="auto"/>
        <w:jc w:val="both"/>
        <w:rPr>
          <w:rFonts w:ascii="David" w:eastAsia="Calibri" w:hAnsi="David" w:cs="David"/>
          <w:b/>
          <w:bCs/>
          <w:sz w:val="24"/>
          <w:szCs w:val="24"/>
          <w:rtl/>
        </w:rPr>
      </w:pPr>
      <w:r w:rsidRPr="009B2BD7">
        <w:rPr>
          <w:rFonts w:ascii="David" w:eastAsia="Calibri" w:hAnsi="David" w:cs="David"/>
          <w:sz w:val="24"/>
          <w:szCs w:val="24"/>
          <w:rtl/>
        </w:rPr>
        <w:t>הוא דחף אותה לעבר המיטה, והחל לצלמה בווידאו, כשהיא עירומה, תוך שהוא ממשש את שדיה, גוער בה, ומדבר אל קהל בלתי נראה, אליו כביכול יוע</w:t>
      </w:r>
      <w:r w:rsidR="0048785E">
        <w:rPr>
          <w:rFonts w:ascii="David" w:eastAsia="Calibri" w:hAnsi="David" w:cs="David"/>
          <w:sz w:val="24"/>
          <w:szCs w:val="24"/>
          <w:rtl/>
        </w:rPr>
        <w:t>ד התיעוד (</w:t>
      </w:r>
      <w:r w:rsidR="0048785E" w:rsidRPr="0048785E">
        <w:rPr>
          <w:rFonts w:ascii="David" w:eastAsia="Calibri" w:hAnsi="David" w:cs="David"/>
          <w:b/>
          <w:bCs/>
          <w:sz w:val="24"/>
          <w:szCs w:val="24"/>
          <w:rtl/>
        </w:rPr>
        <w:t xml:space="preserve">הסרטון </w:t>
      </w:r>
      <w:r w:rsidR="0048785E" w:rsidRPr="0048785E">
        <w:rPr>
          <w:rFonts w:ascii="David" w:eastAsia="Calibri" w:hAnsi="David" w:cs="David" w:hint="cs"/>
          <w:b/>
          <w:bCs/>
          <w:sz w:val="24"/>
          <w:szCs w:val="24"/>
          <w:rtl/>
        </w:rPr>
        <w:t xml:space="preserve">חסוי </w:t>
      </w:r>
      <w:r w:rsidR="0048785E" w:rsidRPr="0048785E">
        <w:rPr>
          <w:rFonts w:ascii="David" w:eastAsia="Calibri" w:hAnsi="David" w:cs="David"/>
          <w:b/>
          <w:bCs/>
          <w:sz w:val="24"/>
          <w:szCs w:val="24"/>
          <w:rtl/>
        </w:rPr>
        <w:t>–</w:t>
      </w:r>
      <w:r w:rsidR="0048785E" w:rsidRPr="0048785E">
        <w:rPr>
          <w:rFonts w:ascii="David" w:eastAsia="Calibri" w:hAnsi="David" w:cs="David" w:hint="cs"/>
          <w:b/>
          <w:bCs/>
          <w:sz w:val="24"/>
          <w:szCs w:val="24"/>
          <w:rtl/>
        </w:rPr>
        <w:t xml:space="preserve"> </w:t>
      </w:r>
      <w:proofErr w:type="spellStart"/>
      <w:r w:rsidR="0048785E" w:rsidRPr="0048785E">
        <w:rPr>
          <w:rFonts w:ascii="David" w:eastAsia="Calibri" w:hAnsi="David" w:cs="David" w:hint="cs"/>
          <w:b/>
          <w:bCs/>
          <w:sz w:val="24"/>
          <w:szCs w:val="24"/>
          <w:rtl/>
        </w:rPr>
        <w:t>תמלולו</w:t>
      </w:r>
      <w:proofErr w:type="spellEnd"/>
      <w:r w:rsidR="0048785E" w:rsidRPr="0048785E">
        <w:rPr>
          <w:rFonts w:ascii="David" w:eastAsia="Calibri" w:hAnsi="David" w:cs="David" w:hint="cs"/>
          <w:b/>
          <w:bCs/>
          <w:sz w:val="24"/>
          <w:szCs w:val="24"/>
          <w:rtl/>
        </w:rPr>
        <w:t xml:space="preserve"> </w:t>
      </w:r>
      <w:r w:rsidR="0048785E">
        <w:rPr>
          <w:rFonts w:ascii="David" w:eastAsia="Calibri" w:hAnsi="David" w:cs="David" w:hint="cs"/>
          <w:b/>
          <w:bCs/>
          <w:sz w:val="24"/>
          <w:szCs w:val="24"/>
          <w:rtl/>
        </w:rPr>
        <w:t>בגז"ד</w:t>
      </w:r>
      <w:r w:rsidRPr="0048785E">
        <w:rPr>
          <w:rFonts w:ascii="David" w:eastAsia="Calibri" w:hAnsi="David" w:cs="David"/>
          <w:b/>
          <w:bCs/>
          <w:sz w:val="24"/>
          <w:szCs w:val="24"/>
          <w:rtl/>
        </w:rPr>
        <w:t>)</w:t>
      </w:r>
      <w:r w:rsidRPr="0048785E">
        <w:rPr>
          <w:rFonts w:ascii="David" w:eastAsia="Calibri" w:hAnsi="David" w:cs="David" w:hint="cs"/>
          <w:sz w:val="24"/>
          <w:szCs w:val="24"/>
          <w:rtl/>
        </w:rPr>
        <w:t>.</w:t>
      </w:r>
    </w:p>
    <w:p w:rsidR="003B6BD8" w:rsidRDefault="003B6BD8" w:rsidP="003F21A0">
      <w:pPr>
        <w:spacing w:after="0" w:line="360" w:lineRule="auto"/>
        <w:jc w:val="both"/>
        <w:rPr>
          <w:rFonts w:ascii="David" w:eastAsia="Calibri" w:hAnsi="David" w:cs="David"/>
          <w:sz w:val="24"/>
          <w:szCs w:val="24"/>
          <w:rtl/>
          <w:lang w:eastAsia="he-IL"/>
        </w:rPr>
      </w:pPr>
    </w:p>
    <w:p w:rsidR="003B6BD8" w:rsidRDefault="003B6BD8" w:rsidP="003F21A0">
      <w:pPr>
        <w:spacing w:after="0" w:line="360" w:lineRule="auto"/>
        <w:jc w:val="both"/>
        <w:rPr>
          <w:rFonts w:ascii="David" w:eastAsia="Calibri" w:hAnsi="David" w:cs="David"/>
          <w:sz w:val="24"/>
          <w:szCs w:val="24"/>
          <w:rtl/>
          <w:lang w:eastAsia="he-IL"/>
        </w:rPr>
      </w:pPr>
    </w:p>
    <w:p w:rsidR="003F21A0" w:rsidRPr="009B2BD7" w:rsidRDefault="003F21A0" w:rsidP="003F21A0">
      <w:pPr>
        <w:spacing w:after="0" w:line="360" w:lineRule="auto"/>
        <w:jc w:val="both"/>
        <w:rPr>
          <w:rFonts w:ascii="David" w:eastAsia="Calibri" w:hAnsi="David" w:cs="David"/>
          <w:sz w:val="24"/>
          <w:szCs w:val="24"/>
          <w:rtl/>
          <w:lang w:eastAsia="he-IL"/>
        </w:rPr>
      </w:pPr>
      <w:r w:rsidRPr="009B2BD7">
        <w:rPr>
          <w:rFonts w:ascii="David" w:eastAsia="Calibri" w:hAnsi="David" w:cs="David"/>
          <w:sz w:val="24"/>
          <w:szCs w:val="24"/>
          <w:rtl/>
          <w:lang w:eastAsia="he-IL"/>
        </w:rPr>
        <w:t xml:space="preserve">אם תמונה שווה לאלף מילים, הרי שהסרטון משקף באופן שאיננו משתמע לשתי פנים את מעשיו של הנאשם. התיעוד קשה. הלב נכמר ויוצא אל המתלוננת שצולמה כשהיא עירומה, חבולה ופצועה בכל חלקי גופה, פניה נפוחים ומעוותים כתוצאה מאלימות קשה. היא שוכבת חסרת אונים, הכרתה מעורפלת, בקושי מגיבה, מתחננת לנאשם שיכסה אותה, כי קר לה. הנאשם בסאדיסטיות משולבת בביזוי מיני גוער במתלוננת, מזיז את גופה מצד לצד משל הייתה בובת סמרטוטים, מספר לקהל צופים עלום אודות מעשיו הברוטליים במתלוננת, ואפילו הסביר מדוע העניש את המתלוננת – היא בגדה בו עם אחרים, ולכן "הייתי חייב לתת לה מכות, קרעתי אותה". </w:t>
      </w:r>
    </w:p>
    <w:p w:rsidR="009B2BD7" w:rsidRPr="009B2BD7" w:rsidRDefault="009B2BD7" w:rsidP="003F21A0">
      <w:pPr>
        <w:spacing w:after="0" w:line="360" w:lineRule="auto"/>
        <w:jc w:val="both"/>
        <w:rPr>
          <w:rFonts w:ascii="David" w:hAnsi="David" w:cs="David"/>
          <w:sz w:val="24"/>
          <w:szCs w:val="24"/>
          <w:rtl/>
        </w:rPr>
      </w:pPr>
      <w:r w:rsidRPr="009B2BD7">
        <w:rPr>
          <w:rFonts w:ascii="David" w:eastAsia="Calibri" w:hAnsi="David" w:cs="David"/>
          <w:sz w:val="24"/>
          <w:szCs w:val="24"/>
          <w:rtl/>
        </w:rPr>
        <w:t>בית המשפט עמד על כך שעצם צילום הסרטון בידי הנאשם, והשילוב בין האופן הפיזי בו נהג במתלוננת במהלכו, ה"שאלות" שהפנה כלפיה, הגערות, הצגת מעשיו כניסיון להיטיב את דרכיה ולחנכה, והשיח עם הצופים הפוטנציאליים אליהם לכאורה ייעד הנאשם את הצילום, כל אלה עולים כדי מעשה מגונה ברף החומרה הגבוה ביותר, כמעין "מלאכת מחשבת של התעללות וביזוי מיניים".</w:t>
      </w:r>
    </w:p>
    <w:p w:rsidR="009B2BD7" w:rsidRPr="009B2BD7" w:rsidRDefault="009B2BD7" w:rsidP="003F21A0">
      <w:pPr>
        <w:spacing w:after="0" w:line="360" w:lineRule="auto"/>
        <w:jc w:val="both"/>
        <w:rPr>
          <w:rFonts w:ascii="David" w:eastAsia="Calibri" w:hAnsi="David" w:cs="David"/>
          <w:sz w:val="24"/>
          <w:szCs w:val="24"/>
          <w:rtl/>
        </w:rPr>
      </w:pPr>
    </w:p>
    <w:p w:rsidR="009B2BD7" w:rsidRPr="009B2BD7" w:rsidRDefault="009B2BD7" w:rsidP="003F21A0">
      <w:pPr>
        <w:spacing w:after="0" w:line="360" w:lineRule="auto"/>
        <w:jc w:val="both"/>
        <w:rPr>
          <w:rFonts w:ascii="David" w:eastAsia="Calibri" w:hAnsi="David" w:cs="David"/>
          <w:sz w:val="24"/>
          <w:szCs w:val="24"/>
          <w:rtl/>
        </w:rPr>
      </w:pPr>
      <w:r w:rsidRPr="009B2BD7">
        <w:rPr>
          <w:rFonts w:ascii="David" w:eastAsia="Calibri" w:hAnsi="David" w:cs="David"/>
          <w:sz w:val="24"/>
          <w:szCs w:val="24"/>
          <w:rtl/>
          <w:lang w:eastAsia="he-IL"/>
        </w:rPr>
        <w:t xml:space="preserve">לאחר שתקף בברוטליות את המתלוננת, חבל בה ופצע אותה (לרבות </w:t>
      </w:r>
      <w:r w:rsidRPr="009B2BD7">
        <w:rPr>
          <w:rFonts w:ascii="David" w:eastAsia="Calibri" w:hAnsi="David" w:cs="David"/>
          <w:sz w:val="24"/>
          <w:szCs w:val="24"/>
          <w:rtl/>
        </w:rPr>
        <w:t xml:space="preserve">שברים מרוסקים בצלעות, שבר באף, חתכים מדממים באזור האגן </w:t>
      </w:r>
      <w:proofErr w:type="spellStart"/>
      <w:r w:rsidRPr="009B2BD7">
        <w:rPr>
          <w:rFonts w:ascii="David" w:eastAsia="Calibri" w:hAnsi="David" w:cs="David"/>
          <w:sz w:val="24"/>
          <w:szCs w:val="24"/>
          <w:rtl/>
        </w:rPr>
        <w:t>והמטומות</w:t>
      </w:r>
      <w:proofErr w:type="spellEnd"/>
      <w:r w:rsidRPr="009B2BD7">
        <w:rPr>
          <w:rFonts w:ascii="David" w:eastAsia="Calibri" w:hAnsi="David" w:cs="David"/>
          <w:sz w:val="24"/>
          <w:szCs w:val="24"/>
          <w:rtl/>
        </w:rPr>
        <w:t xml:space="preserve"> בפניה ובכל חלקי גופה)</w:t>
      </w:r>
      <w:r w:rsidRPr="009B2BD7">
        <w:rPr>
          <w:rFonts w:ascii="David" w:eastAsia="Calibri" w:hAnsi="David" w:cs="David"/>
          <w:sz w:val="24"/>
          <w:szCs w:val="24"/>
          <w:rtl/>
          <w:lang w:eastAsia="he-IL"/>
        </w:rPr>
        <w:t xml:space="preserve">, </w:t>
      </w:r>
      <w:r w:rsidRPr="009B2BD7">
        <w:rPr>
          <w:rFonts w:ascii="David" w:eastAsia="Calibri" w:hAnsi="David" w:cs="David"/>
          <w:sz w:val="24"/>
          <w:szCs w:val="24"/>
          <w:rtl/>
        </w:rPr>
        <w:t xml:space="preserve">יצא הנאשם מהמכולה, ונעל את המתלוננת בפנים, ללא אפשרות לצאת. </w:t>
      </w:r>
      <w:r w:rsidRPr="009B2BD7">
        <w:rPr>
          <w:rFonts w:ascii="David" w:eastAsia="Calibri" w:hAnsi="David" w:cs="David"/>
          <w:sz w:val="24"/>
          <w:szCs w:val="24"/>
          <w:rtl/>
          <w:lang w:eastAsia="he-IL"/>
        </w:rPr>
        <w:t xml:space="preserve">הוא שב למקום למחרת בבוקר, התיר לה לצאת כדי לעשות את צרכיה, ובהמשך שב ונעל אותה בתוך המכולה. הנאשם חזר למקום פעם נוספת במוצאי השבת. בשלב זה </w:t>
      </w:r>
      <w:r w:rsidRPr="009B2BD7">
        <w:rPr>
          <w:rFonts w:ascii="David" w:eastAsia="Calibri" w:hAnsi="David" w:cs="David"/>
          <w:sz w:val="24"/>
          <w:szCs w:val="24"/>
          <w:rtl/>
        </w:rPr>
        <w:t xml:space="preserve">הזמין הנאשם משטרה למקום, אך הורה למתלוננת למסור לשוטרים גרסה כוזבת, לפיה שלושה נתינים זרים הגיעו מהים בסירה, והם שתקפו אותה. בעקבות הדיווח החל חיל הים בסריקות נרחבות, כמובן ללא ממצאים. </w:t>
      </w:r>
    </w:p>
    <w:p w:rsidR="009B2BD7" w:rsidRPr="009B2BD7" w:rsidRDefault="009B2BD7" w:rsidP="003F21A0">
      <w:pPr>
        <w:spacing w:after="0" w:line="360" w:lineRule="auto"/>
        <w:jc w:val="both"/>
        <w:rPr>
          <w:rFonts w:ascii="David" w:eastAsia="Calibri" w:hAnsi="David" w:cs="David"/>
          <w:sz w:val="24"/>
          <w:szCs w:val="24"/>
          <w:rtl/>
        </w:rPr>
      </w:pPr>
      <w:r w:rsidRPr="009B2BD7">
        <w:rPr>
          <w:rFonts w:ascii="David" w:eastAsia="Calibri" w:hAnsi="David" w:cs="David"/>
          <w:sz w:val="24"/>
          <w:szCs w:val="24"/>
          <w:rtl/>
        </w:rPr>
        <w:t>רק בחלוף זמן ממושך, כשהתברר כי מדובר בהודעת שווא, הופסקו הסריקות.</w:t>
      </w:r>
    </w:p>
    <w:p w:rsidR="009B2BD7" w:rsidRPr="009B2BD7" w:rsidRDefault="009B2BD7" w:rsidP="009B2BD7">
      <w:pPr>
        <w:spacing w:after="0" w:line="360" w:lineRule="auto"/>
        <w:ind w:firstLine="720"/>
        <w:jc w:val="both"/>
        <w:rPr>
          <w:rFonts w:ascii="David" w:eastAsia="Calibri" w:hAnsi="David" w:cs="David"/>
          <w:sz w:val="24"/>
          <w:szCs w:val="24"/>
          <w:rtl/>
        </w:rPr>
      </w:pPr>
    </w:p>
    <w:p w:rsidR="009B2BD7" w:rsidRPr="009B2BD7" w:rsidRDefault="009B2BD7" w:rsidP="003F21A0">
      <w:pPr>
        <w:spacing w:after="0" w:line="360" w:lineRule="auto"/>
        <w:jc w:val="both"/>
        <w:rPr>
          <w:rFonts w:ascii="David" w:eastAsia="Calibri" w:hAnsi="David" w:cs="David"/>
          <w:sz w:val="24"/>
          <w:szCs w:val="24"/>
          <w:rtl/>
        </w:rPr>
      </w:pPr>
      <w:r w:rsidRPr="009B2BD7">
        <w:rPr>
          <w:rFonts w:ascii="David" w:eastAsia="Calibri" w:hAnsi="David" w:cs="David"/>
          <w:sz w:val="24"/>
          <w:szCs w:val="24"/>
          <w:rtl/>
        </w:rPr>
        <w:t>בית המשפט התייחס לנסיבות כליאתה של המתלוננת, מבלי שקיבלה טיפול רפואי, ולסיכון שהדבר היווה לבריאותה הפיזית והנפשית. עוד הפנה בית המשפט לתסקיר קורבן שהתקבל בעניינה, חרדת המוות ותחושות ההשפלה והביזוי שהיוו מנת חלקה במהלך האירועים. המתלוננת סובלת מתסמיני דיכאון מתמשכים, איבדה אמון בבני אדם בכלל ובגברים בפרט, חלה ירידה קשה בכישורי החיים שלה. מאישה עצמאית שהתגוררה שנים רבות לבדה, הפכה למפוחדת, מגלה קשיי התמצאות במרחב, וקיים חשש של ממש מפני מסוגלותה לשוב בעתיד לחיים עצמאיים.</w:t>
      </w:r>
    </w:p>
    <w:p w:rsidR="009B2BD7" w:rsidRPr="009B2BD7" w:rsidRDefault="009B2BD7" w:rsidP="009B2BD7">
      <w:pPr>
        <w:spacing w:after="0" w:line="360" w:lineRule="auto"/>
        <w:ind w:firstLine="720"/>
        <w:jc w:val="both"/>
        <w:rPr>
          <w:rFonts w:ascii="David" w:eastAsia="Calibri" w:hAnsi="David" w:cs="David"/>
          <w:sz w:val="24"/>
          <w:szCs w:val="24"/>
          <w:rtl/>
        </w:rPr>
      </w:pPr>
    </w:p>
    <w:p w:rsidR="009B2BD7" w:rsidRPr="003F21A0" w:rsidRDefault="009B2BD7" w:rsidP="003F21A0">
      <w:pPr>
        <w:spacing w:after="0" w:line="360" w:lineRule="auto"/>
        <w:jc w:val="both"/>
        <w:rPr>
          <w:rFonts w:ascii="David" w:eastAsia="Calibri" w:hAnsi="David" w:cs="David"/>
          <w:sz w:val="24"/>
          <w:szCs w:val="24"/>
          <w:rtl/>
        </w:rPr>
      </w:pPr>
      <w:r w:rsidRPr="009B2BD7">
        <w:rPr>
          <w:rFonts w:ascii="David" w:eastAsia="Calibri" w:hAnsi="David" w:cs="David"/>
          <w:sz w:val="24"/>
          <w:szCs w:val="24"/>
          <w:rtl/>
        </w:rPr>
        <w:t>בסוף גזר הדין הפנה בית המשפט דבריו במישרין למתלוננת: "</w:t>
      </w:r>
      <w:r w:rsidRPr="003F21A0">
        <w:rPr>
          <w:rFonts w:ascii="David" w:eastAsia="Calibri" w:hAnsi="David" w:cs="David"/>
          <w:sz w:val="24"/>
          <w:szCs w:val="24"/>
          <w:rtl/>
        </w:rPr>
        <w:t>חזקי ואמצי. העדת בגבורה אודות האירועים האפלים שנאלצת לחוות על כורחך. כולי תקווה כי תצליחי להתנשא מעל התהום בה את מצויה, להמשיך בחייך, ולהשיב לעצמך את היכולת לתת אמון באחרים".</w:t>
      </w:r>
    </w:p>
    <w:p w:rsidR="009B2BD7" w:rsidRPr="003F21A0" w:rsidRDefault="009B2BD7" w:rsidP="009B2BD7">
      <w:pPr>
        <w:spacing w:after="0" w:line="360" w:lineRule="auto"/>
        <w:jc w:val="both"/>
        <w:rPr>
          <w:rFonts w:ascii="David" w:eastAsia="Calibri" w:hAnsi="David" w:cs="David"/>
          <w:sz w:val="24"/>
          <w:szCs w:val="24"/>
          <w:rtl/>
        </w:rPr>
      </w:pPr>
    </w:p>
    <w:p w:rsidR="009B2BD7" w:rsidRPr="003F21A0" w:rsidRDefault="009B2BD7" w:rsidP="009B2BD7">
      <w:pPr>
        <w:spacing w:after="0" w:line="360" w:lineRule="auto"/>
        <w:jc w:val="both"/>
        <w:rPr>
          <w:rFonts w:ascii="David" w:eastAsia="Calibri" w:hAnsi="David" w:cs="David"/>
          <w:b/>
          <w:bCs/>
          <w:sz w:val="24"/>
          <w:szCs w:val="24"/>
          <w:u w:val="single"/>
          <w:rtl/>
        </w:rPr>
      </w:pPr>
      <w:r w:rsidRPr="003F21A0">
        <w:rPr>
          <w:rFonts w:ascii="David" w:eastAsia="Calibri" w:hAnsi="David" w:cs="David"/>
          <w:b/>
          <w:bCs/>
          <w:sz w:val="24"/>
          <w:szCs w:val="24"/>
          <w:u w:val="single"/>
          <w:rtl/>
        </w:rPr>
        <w:t>גזר הדין ניתן בפומבי ומותר בפרסום. שמה של המתלוננת ופרטיה חסויים.</w:t>
      </w:r>
    </w:p>
    <w:p w:rsidR="00EA6DF3" w:rsidRPr="003F21A0" w:rsidRDefault="00EA6DF3" w:rsidP="00EA6DF3">
      <w:pPr>
        <w:spacing w:after="120" w:line="360" w:lineRule="auto"/>
        <w:jc w:val="both"/>
        <w:rPr>
          <w:rFonts w:ascii="David" w:hAnsi="David" w:cs="David"/>
          <w:color w:val="323E4F" w:themeColor="text2" w:themeShade="BF"/>
          <w:sz w:val="24"/>
          <w:szCs w:val="24"/>
          <w:rtl/>
        </w:rPr>
      </w:pPr>
    </w:p>
    <w:p w:rsidR="00515986" w:rsidRPr="003B6BD8" w:rsidRDefault="00EA6DF3" w:rsidP="003B6BD8">
      <w:pPr>
        <w:spacing w:after="120" w:line="360" w:lineRule="auto"/>
        <w:jc w:val="center"/>
        <w:rPr>
          <w:rFonts w:ascii="FrankRuehl" w:hAnsi="FrankRuehl" w:cs="FrankRuehl"/>
          <w:b/>
          <w:bCs/>
          <w:color w:val="002060"/>
          <w:sz w:val="28"/>
          <w:szCs w:val="28"/>
          <w:rtl/>
        </w:rPr>
      </w:pPr>
      <w:r w:rsidRPr="003F21A0">
        <w:rPr>
          <w:rFonts w:ascii="FrankRuehl" w:hAnsi="FrankRuehl" w:cs="FrankRuehl"/>
          <w:b/>
          <w:bCs/>
          <w:color w:val="002060"/>
          <w:sz w:val="28"/>
          <w:szCs w:val="28"/>
          <w:rtl/>
        </w:rPr>
        <w:t xml:space="preserve">*** התקציר אינו בא </w:t>
      </w:r>
      <w:r w:rsidR="009B2BD7" w:rsidRPr="003F21A0">
        <w:rPr>
          <w:rFonts w:ascii="FrankRuehl" w:hAnsi="FrankRuehl" w:cs="FrankRuehl"/>
          <w:b/>
          <w:bCs/>
          <w:color w:val="002060"/>
          <w:sz w:val="28"/>
          <w:szCs w:val="28"/>
          <w:rtl/>
        </w:rPr>
        <w:t>להחליף את גזר</w:t>
      </w:r>
      <w:r w:rsidRPr="003F21A0">
        <w:rPr>
          <w:rFonts w:ascii="FrankRuehl" w:hAnsi="FrankRuehl" w:cs="FrankRuehl"/>
          <w:b/>
          <w:bCs/>
          <w:color w:val="002060"/>
          <w:sz w:val="28"/>
          <w:szCs w:val="28"/>
          <w:rtl/>
        </w:rPr>
        <w:t>-</w:t>
      </w:r>
      <w:r w:rsidR="009B2BD7" w:rsidRPr="003F21A0">
        <w:rPr>
          <w:rFonts w:ascii="FrankRuehl" w:hAnsi="FrankRuehl" w:cs="FrankRuehl"/>
          <w:b/>
          <w:bCs/>
          <w:color w:val="002060"/>
          <w:sz w:val="28"/>
          <w:szCs w:val="28"/>
          <w:rtl/>
        </w:rPr>
        <w:t xml:space="preserve">הדין, הנוסח המחייב הוא זה של </w:t>
      </w:r>
      <w:r w:rsidR="009B2BD7" w:rsidRPr="003F21A0">
        <w:rPr>
          <w:rFonts w:ascii="FrankRuehl" w:hAnsi="FrankRuehl" w:cs="FrankRuehl" w:hint="eastAsia"/>
          <w:b/>
          <w:bCs/>
          <w:color w:val="002060"/>
          <w:sz w:val="28"/>
          <w:szCs w:val="28"/>
          <w:rtl/>
        </w:rPr>
        <w:t>גזר</w:t>
      </w:r>
      <w:r w:rsidRPr="003F21A0">
        <w:rPr>
          <w:rFonts w:ascii="FrankRuehl" w:hAnsi="FrankRuehl" w:cs="FrankRuehl"/>
          <w:b/>
          <w:bCs/>
          <w:color w:val="002060"/>
          <w:sz w:val="28"/>
          <w:szCs w:val="28"/>
          <w:rtl/>
        </w:rPr>
        <w:t>-הדין המלא ***</w:t>
      </w:r>
    </w:p>
    <w:sectPr w:rsidR="00515986" w:rsidRPr="003B6BD8" w:rsidSect="00B16422">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0CA1" w:rsidRDefault="00730CA1" w:rsidP="00730CA1">
      <w:pPr>
        <w:spacing w:after="0" w:line="240" w:lineRule="auto"/>
      </w:pPr>
      <w:r>
        <w:separator/>
      </w:r>
    </w:p>
  </w:endnote>
  <w:endnote w:type="continuationSeparator" w:id="0">
    <w:p w:rsidR="00730CA1" w:rsidRDefault="00730CA1" w:rsidP="00730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639C" w:rsidRPr="003A639C" w:rsidRDefault="003A639C" w:rsidP="003A639C">
    <w:pPr>
      <w:tabs>
        <w:tab w:val="center" w:pos="4153"/>
        <w:tab w:val="right" w:pos="8306"/>
      </w:tabs>
      <w:spacing w:after="0" w:line="240" w:lineRule="auto"/>
      <w:rPr>
        <w:rFonts w:ascii="Times New Roman" w:eastAsia="Times New Roman" w:hAnsi="Times New Roman" w:cs="FrankRuehl"/>
        <w:b/>
        <w:bCs/>
        <w:color w:val="000080"/>
        <w:spacing w:val="6"/>
        <w:sz w:val="24"/>
        <w:szCs w:val="24"/>
        <w:rtl/>
      </w:rPr>
    </w:pPr>
    <w:r w:rsidRPr="003A639C">
      <w:rPr>
        <w:rFonts w:ascii="Times New Roman" w:eastAsia="Times New Roman" w:hAnsi="Times New Roman" w:cs="FrankRuehl"/>
        <w:b/>
        <w:bCs/>
        <w:color w:val="000080"/>
        <w:spacing w:val="6"/>
        <w:sz w:val="24"/>
        <w:szCs w:val="24"/>
        <w:rtl/>
      </w:rPr>
      <w:t>________________________________________________________________</w:t>
    </w:r>
  </w:p>
  <w:p w:rsidR="003A639C" w:rsidRPr="003A639C" w:rsidRDefault="003A639C" w:rsidP="003A639C">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sidRPr="003A639C">
      <w:rPr>
        <w:rFonts w:ascii="Times New Roman" w:eastAsia="Times New Roman" w:hAnsi="Times New Roman" w:cs="FrankRuehl" w:hint="cs"/>
        <w:b/>
        <w:bCs/>
        <w:color w:val="000080"/>
        <w:spacing w:val="6"/>
        <w:sz w:val="24"/>
        <w:szCs w:val="24"/>
        <w:rtl/>
      </w:rPr>
      <w:t xml:space="preserve">בית משפט העליון | דרך השופט מאיר שמגר 1 | </w:t>
    </w:r>
    <w:proofErr w:type="spellStart"/>
    <w:r w:rsidRPr="003A639C">
      <w:rPr>
        <w:rFonts w:ascii="Times New Roman" w:eastAsia="Times New Roman" w:hAnsi="Times New Roman" w:cs="FrankRuehl" w:hint="cs"/>
        <w:b/>
        <w:bCs/>
        <w:color w:val="000080"/>
        <w:spacing w:val="6"/>
        <w:sz w:val="24"/>
        <w:szCs w:val="24"/>
        <w:rtl/>
      </w:rPr>
      <w:t>קרית</w:t>
    </w:r>
    <w:proofErr w:type="spellEnd"/>
    <w:r w:rsidRPr="003A639C">
      <w:rPr>
        <w:rFonts w:ascii="Times New Roman" w:eastAsia="Times New Roman" w:hAnsi="Times New Roman" w:cs="FrankRuehl" w:hint="cs"/>
        <w:b/>
        <w:bCs/>
        <w:color w:val="000080"/>
        <w:spacing w:val="6"/>
        <w:sz w:val="24"/>
        <w:szCs w:val="24"/>
        <w:rtl/>
      </w:rPr>
      <w:t xml:space="preserve"> בן גוריון | ירושלים</w:t>
    </w:r>
  </w:p>
  <w:p w:rsidR="003C61AF" w:rsidRPr="003A639C" w:rsidRDefault="003A639C" w:rsidP="003A639C">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sidRPr="003A639C">
      <w:rPr>
        <w:rFonts w:ascii="Times New Roman" w:eastAsia="Times New Roman" w:hAnsi="Times New Roman" w:cs="FrankRuehl" w:hint="cs"/>
        <w:b/>
        <w:bCs/>
        <w:color w:val="000080"/>
        <w:spacing w:val="6"/>
        <w:sz w:val="24"/>
        <w:szCs w:val="24"/>
        <w:rtl/>
      </w:rPr>
      <w:t xml:space="preserve">טל: </w:t>
    </w:r>
    <w:r w:rsidRPr="003A639C">
      <w:rPr>
        <w:rFonts w:ascii="Times New Roman" w:eastAsia="Times New Roman" w:hAnsi="Times New Roman" w:cs="FrankRuehl"/>
        <w:b/>
        <w:bCs/>
        <w:color w:val="000080"/>
        <w:spacing w:val="6"/>
        <w:sz w:val="24"/>
        <w:szCs w:val="24"/>
      </w:rPr>
      <w:t>074-7480412</w:t>
    </w:r>
    <w:r w:rsidRPr="003A639C">
      <w:rPr>
        <w:rFonts w:ascii="Times New Roman" w:eastAsia="Times New Roman" w:hAnsi="Times New Roman" w:cs="FrankRuehl" w:hint="cs"/>
        <w:b/>
        <w:bCs/>
        <w:color w:val="000080"/>
        <w:spacing w:val="6"/>
        <w:sz w:val="24"/>
        <w:szCs w:val="24"/>
        <w:rtl/>
      </w:rPr>
      <w:t xml:space="preserve">                       דוא"ל</w:t>
    </w:r>
    <w:r w:rsidRPr="003A639C">
      <w:rPr>
        <w:rFonts w:ascii="Times New Roman" w:eastAsia="Times New Roman" w:hAnsi="Times New Roman" w:cs="FrankRuehl"/>
        <w:b/>
        <w:bCs/>
        <w:color w:val="000080"/>
        <w:spacing w:val="6"/>
        <w:sz w:val="24"/>
        <w:szCs w:val="24"/>
      </w:rPr>
      <w:t>:</w:t>
    </w:r>
    <w:r w:rsidRPr="003A639C">
      <w:rPr>
        <w:rFonts w:ascii="Times New Roman" w:eastAsia="Times New Roman" w:hAnsi="Times New Roman" w:cs="FrankRuehl" w:hint="cs"/>
        <w:b/>
        <w:bCs/>
        <w:color w:val="000080"/>
        <w:spacing w:val="6"/>
        <w:sz w:val="24"/>
        <w:szCs w:val="24"/>
        <w:rtl/>
      </w:rPr>
      <w:t xml:space="preserve">  </w:t>
    </w:r>
    <w:hyperlink r:id="rId1" w:history="1">
      <w:r w:rsidRPr="003A639C">
        <w:rPr>
          <w:rFonts w:ascii="Times New Roman" w:eastAsia="Times New Roman" w:hAnsi="Times New Roman" w:cs="FrankRuehl"/>
          <w:b/>
          <w:bCs/>
          <w:color w:val="0000FF"/>
          <w:spacing w:val="6"/>
          <w:sz w:val="24"/>
          <w:szCs w:val="24"/>
          <w:u w:val="single"/>
        </w:rPr>
        <w:t>Dover@court.gov.il</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0CA1" w:rsidRDefault="00730CA1" w:rsidP="00730CA1">
      <w:pPr>
        <w:spacing w:after="0" w:line="240" w:lineRule="auto"/>
      </w:pPr>
      <w:r>
        <w:separator/>
      </w:r>
    </w:p>
  </w:footnote>
  <w:footnote w:type="continuationSeparator" w:id="0">
    <w:p w:rsidR="00730CA1" w:rsidRDefault="00730CA1" w:rsidP="00730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David"/>
        <w:sz w:val="20"/>
        <w:szCs w:val="24"/>
        <w:lang w:eastAsia="he-IL"/>
      </w:rPr>
    </w:pPr>
    <w:r w:rsidRPr="005253B2">
      <w:rPr>
        <w:rFonts w:ascii="Times New Roman" w:eastAsia="Times New Roman" w:hAnsi="Times New Roman" w:cs="David"/>
        <w:noProof/>
        <w:sz w:val="20"/>
        <w:szCs w:val="24"/>
      </w:rPr>
      <w:drawing>
        <wp:inline distT="0" distB="0" distL="0" distR="0">
          <wp:extent cx="523875" cy="619125"/>
          <wp:effectExtent l="0" t="0" r="9525" b="9525"/>
          <wp:docPr id="1" name="תמונה 2" descr="תיאור: 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תיאור: 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619125"/>
                  </a:xfrm>
                  <a:prstGeom prst="rect">
                    <a:avLst/>
                  </a:prstGeom>
                  <a:noFill/>
                  <a:ln>
                    <a:noFill/>
                  </a:ln>
                </pic:spPr>
              </pic:pic>
            </a:graphicData>
          </a:graphic>
        </wp:inline>
      </w:drawing>
    </w:r>
    <w:r w:rsidRPr="005253B2">
      <w:rPr>
        <w:rFonts w:ascii="Century" w:eastAsia="Times New Roman" w:hAnsi="Century" w:cs="FrankRuehl" w:hint="cs"/>
        <w:noProof/>
        <w:spacing w:val="10"/>
        <w:sz w:val="20"/>
        <w:szCs w:val="28"/>
        <w:rtl/>
        <w:lang w:eastAsia="he-IL"/>
      </w:rPr>
      <w:t xml:space="preserve">                                            </w:t>
    </w:r>
  </w:p>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rtl/>
        <w:lang w:eastAsia="he-IL"/>
      </w:rPr>
    </w:pPr>
    <w:r w:rsidRPr="005253B2">
      <w:rPr>
        <w:rFonts w:ascii="Times New Roman" w:eastAsia="Times New Roman" w:hAnsi="Times New Roman" w:cs="FrankRuehl" w:hint="cs"/>
        <w:b/>
        <w:bCs/>
        <w:color w:val="000080"/>
        <w:spacing w:val="6"/>
        <w:sz w:val="28"/>
        <w:szCs w:val="28"/>
        <w:rtl/>
        <w:lang w:eastAsia="he-IL"/>
      </w:rPr>
      <w:t>מערכת בתי המשפט</w:t>
    </w:r>
  </w:p>
  <w:p w:rsidR="007007D7"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lang w:eastAsia="he-IL"/>
      </w:rPr>
    </w:pPr>
    <w:r w:rsidRPr="005253B2">
      <w:rPr>
        <w:rFonts w:ascii="Times New Roman" w:eastAsia="Times New Roman" w:hAnsi="Times New Roman" w:cs="FrankRuehl" w:hint="cs"/>
        <w:b/>
        <w:bCs/>
        <w:color w:val="000080"/>
        <w:spacing w:val="6"/>
        <w:sz w:val="28"/>
        <w:szCs w:val="28"/>
        <w:rtl/>
        <w:lang w:eastAsia="he-IL"/>
      </w:rPr>
      <w:t>דוברות והסברה</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7B27"/>
    <w:multiLevelType w:val="multilevel"/>
    <w:tmpl w:val="2EA02F4A"/>
    <w:lvl w:ilvl="0">
      <w:start w:val="1"/>
      <w:numFmt w:val="decimal"/>
      <w:lvlText w:val="%1."/>
      <w:lvlJc w:val="left"/>
      <w:pPr>
        <w:tabs>
          <w:tab w:val="num" w:pos="454"/>
        </w:tabs>
        <w:ind w:left="454" w:hanging="454"/>
      </w:pPr>
      <w:rPr>
        <w:rFonts w:hint="default"/>
        <w:bCs w:val="0"/>
        <w:iCs w:val="0"/>
        <w:szCs w:val="24"/>
      </w:rPr>
    </w:lvl>
    <w:lvl w:ilvl="1">
      <w:start w:val="1"/>
      <w:numFmt w:val="hebrew1"/>
      <w:lvlText w:val="%2."/>
      <w:lvlJc w:val="left"/>
      <w:pPr>
        <w:tabs>
          <w:tab w:val="num" w:pos="907"/>
        </w:tabs>
        <w:ind w:left="908" w:hanging="454"/>
      </w:pPr>
      <w:rPr>
        <w:rFonts w:cs="David" w:hint="cs"/>
        <w:bCs w:val="0"/>
        <w:iCs w:val="0"/>
        <w:szCs w:val="26"/>
      </w:rPr>
    </w:lvl>
    <w:lvl w:ilvl="2">
      <w:start w:val="1"/>
      <w:numFmt w:val="decimal"/>
      <w:lvlText w:val="(%3)"/>
      <w:lvlJc w:val="left"/>
      <w:pPr>
        <w:tabs>
          <w:tab w:val="num" w:pos="1361"/>
        </w:tabs>
        <w:ind w:left="1362" w:hanging="454"/>
      </w:pPr>
      <w:rPr>
        <w:rFonts w:ascii="Times New Roman" w:hAnsi="Times New Roman" w:cs="David" w:hint="default"/>
        <w:b w:val="0"/>
        <w:bCs w:val="0"/>
        <w:i w:val="0"/>
        <w:iCs w:val="0"/>
        <w:sz w:val="24"/>
        <w:szCs w:val="24"/>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3CF"/>
    <w:rsid w:val="000011AE"/>
    <w:rsid w:val="00025761"/>
    <w:rsid w:val="000C4D75"/>
    <w:rsid w:val="001D42A7"/>
    <w:rsid w:val="002453CF"/>
    <w:rsid w:val="002C0E83"/>
    <w:rsid w:val="003921C3"/>
    <w:rsid w:val="003A639C"/>
    <w:rsid w:val="003B6BD8"/>
    <w:rsid w:val="003C61AF"/>
    <w:rsid w:val="003E6E39"/>
    <w:rsid w:val="003E7EB7"/>
    <w:rsid w:val="003F21A0"/>
    <w:rsid w:val="00426AA7"/>
    <w:rsid w:val="0048785E"/>
    <w:rsid w:val="00515986"/>
    <w:rsid w:val="005253B2"/>
    <w:rsid w:val="00541C9E"/>
    <w:rsid w:val="00631744"/>
    <w:rsid w:val="00655DAD"/>
    <w:rsid w:val="00690B6F"/>
    <w:rsid w:val="006B7B96"/>
    <w:rsid w:val="006C3B1F"/>
    <w:rsid w:val="006F1E1F"/>
    <w:rsid w:val="007007D7"/>
    <w:rsid w:val="00711675"/>
    <w:rsid w:val="00730CA1"/>
    <w:rsid w:val="007B7899"/>
    <w:rsid w:val="00832AD7"/>
    <w:rsid w:val="008C02E0"/>
    <w:rsid w:val="00983123"/>
    <w:rsid w:val="009941A7"/>
    <w:rsid w:val="009B2BD7"/>
    <w:rsid w:val="009E5C0E"/>
    <w:rsid w:val="00AD7644"/>
    <w:rsid w:val="00B16422"/>
    <w:rsid w:val="00B22AFC"/>
    <w:rsid w:val="00B2438E"/>
    <w:rsid w:val="00BA3143"/>
    <w:rsid w:val="00C22E08"/>
    <w:rsid w:val="00C37F37"/>
    <w:rsid w:val="00C50C55"/>
    <w:rsid w:val="00C529CC"/>
    <w:rsid w:val="00C842A7"/>
    <w:rsid w:val="00C85A27"/>
    <w:rsid w:val="00CA2D6A"/>
    <w:rsid w:val="00CB4940"/>
    <w:rsid w:val="00CD280B"/>
    <w:rsid w:val="00D11F77"/>
    <w:rsid w:val="00D205AB"/>
    <w:rsid w:val="00D3468E"/>
    <w:rsid w:val="00D43C0E"/>
    <w:rsid w:val="00D5319F"/>
    <w:rsid w:val="00E35DF3"/>
    <w:rsid w:val="00EA6DF3"/>
    <w:rsid w:val="00EB6609"/>
    <w:rsid w:val="00F46250"/>
    <w:rsid w:val="00FF555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89895"/>
  <w15:chartTrackingRefBased/>
  <w15:docId w15:val="{73C43B57-6867-4F06-9DF1-55588D3D5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6AA7"/>
    <w:pPr>
      <w:spacing w:after="0" w:line="240" w:lineRule="auto"/>
    </w:pPr>
    <w:rPr>
      <w:rFonts w:ascii="Tahoma" w:hAnsi="Tahoma" w:cs="Tahoma"/>
      <w:sz w:val="18"/>
      <w:szCs w:val="18"/>
    </w:rPr>
  </w:style>
  <w:style w:type="character" w:customStyle="1" w:styleId="a4">
    <w:name w:val="טקסט בלונים תו"/>
    <w:basedOn w:val="a0"/>
    <w:link w:val="a3"/>
    <w:uiPriority w:val="99"/>
    <w:semiHidden/>
    <w:rsid w:val="00426AA7"/>
    <w:rPr>
      <w:rFonts w:ascii="Tahoma" w:hAnsi="Tahoma" w:cs="Tahoma"/>
      <w:sz w:val="18"/>
      <w:szCs w:val="18"/>
    </w:rPr>
  </w:style>
  <w:style w:type="character" w:styleId="Hyperlink">
    <w:name w:val="Hyperlink"/>
    <w:basedOn w:val="a0"/>
    <w:uiPriority w:val="99"/>
    <w:unhideWhenUsed/>
    <w:rsid w:val="00E35DF3"/>
    <w:rPr>
      <w:color w:val="0563C1" w:themeColor="hyperlink"/>
      <w:u w:val="single"/>
    </w:rPr>
  </w:style>
  <w:style w:type="paragraph" w:styleId="a5">
    <w:name w:val="header"/>
    <w:basedOn w:val="a"/>
    <w:link w:val="a6"/>
    <w:uiPriority w:val="99"/>
    <w:unhideWhenUsed/>
    <w:rsid w:val="00730CA1"/>
    <w:pPr>
      <w:tabs>
        <w:tab w:val="center" w:pos="4153"/>
        <w:tab w:val="right" w:pos="8306"/>
      </w:tabs>
      <w:spacing w:after="0" w:line="240" w:lineRule="auto"/>
    </w:pPr>
  </w:style>
  <w:style w:type="character" w:customStyle="1" w:styleId="a6">
    <w:name w:val="כותרת עליונה תו"/>
    <w:basedOn w:val="a0"/>
    <w:link w:val="a5"/>
    <w:uiPriority w:val="99"/>
    <w:rsid w:val="00730CA1"/>
  </w:style>
  <w:style w:type="paragraph" w:styleId="a7">
    <w:name w:val="footer"/>
    <w:basedOn w:val="a"/>
    <w:link w:val="a8"/>
    <w:uiPriority w:val="99"/>
    <w:unhideWhenUsed/>
    <w:rsid w:val="00730CA1"/>
    <w:pPr>
      <w:tabs>
        <w:tab w:val="center" w:pos="4153"/>
        <w:tab w:val="right" w:pos="8306"/>
      </w:tabs>
      <w:spacing w:after="0" w:line="240" w:lineRule="auto"/>
    </w:pPr>
  </w:style>
  <w:style w:type="character" w:customStyle="1" w:styleId="a8">
    <w:name w:val="כותרת תחתונה תו"/>
    <w:basedOn w:val="a0"/>
    <w:link w:val="a7"/>
    <w:uiPriority w:val="99"/>
    <w:rsid w:val="00730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739060">
      <w:bodyDiv w:val="1"/>
      <w:marLeft w:val="0"/>
      <w:marRight w:val="0"/>
      <w:marTop w:val="0"/>
      <w:marBottom w:val="0"/>
      <w:divBdr>
        <w:top w:val="none" w:sz="0" w:space="0" w:color="auto"/>
        <w:left w:val="none" w:sz="0" w:space="0" w:color="auto"/>
        <w:bottom w:val="none" w:sz="0" w:space="0" w:color="auto"/>
        <w:right w:val="none" w:sz="0" w:space="0" w:color="auto"/>
      </w:divBdr>
    </w:div>
    <w:div w:id="1171139320">
      <w:bodyDiv w:val="1"/>
      <w:marLeft w:val="0"/>
      <w:marRight w:val="0"/>
      <w:marTop w:val="0"/>
      <w:marBottom w:val="0"/>
      <w:divBdr>
        <w:top w:val="none" w:sz="0" w:space="0" w:color="auto"/>
        <w:left w:val="none" w:sz="0" w:space="0" w:color="auto"/>
        <w:bottom w:val="none" w:sz="0" w:space="0" w:color="auto"/>
        <w:right w:val="none" w:sz="0" w:space="0" w:color="auto"/>
      </w:divBdr>
    </w:div>
    <w:div w:id="1552304460">
      <w:bodyDiv w:val="1"/>
      <w:marLeft w:val="0"/>
      <w:marRight w:val="0"/>
      <w:marTop w:val="0"/>
      <w:marBottom w:val="0"/>
      <w:divBdr>
        <w:top w:val="none" w:sz="0" w:space="0" w:color="auto"/>
        <w:left w:val="none" w:sz="0" w:space="0" w:color="auto"/>
        <w:bottom w:val="none" w:sz="0" w:space="0" w:color="auto"/>
        <w:right w:val="none" w:sz="0" w:space="0" w:color="auto"/>
      </w:divBdr>
    </w:div>
    <w:div w:id="20642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over@court.gov.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B494CEB3-23D7-4337-BC11-E3C960392B9F}">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808</Words>
  <Characters>4044</Characters>
  <Application>Microsoft Office Word</Application>
  <DocSecurity>0</DocSecurity>
  <Lines>33</Lines>
  <Paragraphs>9</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לזימי</dc:creator>
  <cp:keywords/>
  <dc:description/>
  <cp:lastModifiedBy>רותם כהן</cp:lastModifiedBy>
  <cp:revision>6</cp:revision>
  <cp:lastPrinted>2017-11-13T12:38:00Z</cp:lastPrinted>
  <dcterms:created xsi:type="dcterms:W3CDTF">2024-07-01T11:12:00Z</dcterms:created>
  <dcterms:modified xsi:type="dcterms:W3CDTF">2024-07-04T10:03:00Z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DateEng">
    <vt:lpwstr>01 ביולי 2024</vt:lpwstr>
  </property>
  <property fmtid="{D5CDD505-2E9C-101B-9397-08002B2CF9AE}" pid="3" name="DocDateHeb">
    <vt:lpwstr>כ"ה בסיוון תשפ"ד</vt:lpwstr>
  </property>
  <property fmtid="{D5CDD505-2E9C-101B-9397-08002B2CF9AE}" pid="4" name="DocNumber">
    <vt:lpwstr>4700-1039-2024-004473</vt:lpwstr>
  </property>
  <property fmtid="{D5CDD505-2E9C-101B-9397-08002B2CF9AE}" pid="5" name="DocRecipientsName">
    <vt:lpwstr/>
  </property>
  <property fmtid="{D5CDD505-2E9C-101B-9397-08002B2CF9AE}" pid="6" name="DocToName">
    <vt:lpwstr/>
  </property>
  <property fmtid="{D5CDD505-2E9C-101B-9397-08002B2CF9AE}" pid="7" name="DocObjectName">
    <vt:lpwstr>תקציר גזר דין ת"פ 7375-04-23</vt:lpwstr>
  </property>
</Properties>
</file>